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DA09324"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F1475B">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0C4F51">
        <w:rPr>
          <w:bCs/>
          <w:noProof w:val="0"/>
          <w:sz w:val="24"/>
          <w:szCs w:val="24"/>
        </w:rPr>
        <w:t>09289</w:t>
      </w:r>
    </w:p>
    <w:p w14:paraId="11776FA6" w14:textId="7ECA3DA2"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w:t>
      </w:r>
      <w:r w:rsidR="00AD453E">
        <w:rPr>
          <w:rFonts w:eastAsia="SimSun"/>
          <w:bCs/>
          <w:sz w:val="24"/>
          <w:szCs w:val="24"/>
          <w:lang w:eastAsia="zh-CN"/>
        </w:rPr>
        <w:t>ia</w:t>
      </w:r>
      <w:r w:rsidRPr="00F036E9">
        <w:rPr>
          <w:rFonts w:eastAsia="SimSun"/>
          <w:bCs/>
          <w:sz w:val="24"/>
          <w:szCs w:val="24"/>
          <w:lang w:eastAsia="zh-CN"/>
        </w:rPr>
        <w:t>, 26</w:t>
      </w:r>
      <w:r w:rsidR="00AD453E">
        <w:rPr>
          <w:rFonts w:eastAsia="SimSun"/>
          <w:bCs/>
          <w:sz w:val="24"/>
          <w:szCs w:val="24"/>
          <w:lang w:eastAsia="zh-CN"/>
        </w:rPr>
        <w:t>th</w:t>
      </w:r>
      <w:r w:rsidRPr="00F036E9">
        <w:rPr>
          <w:rFonts w:eastAsia="SimSun"/>
          <w:bCs/>
          <w:sz w:val="24"/>
          <w:szCs w:val="24"/>
          <w:lang w:eastAsia="zh-CN"/>
        </w:rPr>
        <w:t xml:space="preserve"> – 30</w:t>
      </w:r>
      <w:r w:rsidR="00AD453E">
        <w:rPr>
          <w:rFonts w:eastAsia="SimSun"/>
          <w:bCs/>
          <w:sz w:val="24"/>
          <w:szCs w:val="24"/>
          <w:lang w:eastAsia="zh-CN"/>
        </w:rPr>
        <w:t>th</w:t>
      </w:r>
      <w:r w:rsidRPr="00F036E9">
        <w:rPr>
          <w:rFonts w:eastAsia="SimSun"/>
          <w:bCs/>
          <w:sz w:val="24"/>
          <w:szCs w:val="24"/>
          <w:lang w:eastAsia="zh-CN"/>
        </w:rPr>
        <w:t xml:space="preserve"> </w:t>
      </w:r>
      <w:r w:rsidR="00AD453E">
        <w:rPr>
          <w:rFonts w:eastAsia="SimSun"/>
          <w:bCs/>
          <w:sz w:val="24"/>
          <w:szCs w:val="24"/>
          <w:lang w:eastAsia="zh-CN"/>
        </w:rPr>
        <w:t xml:space="preserve">of </w:t>
      </w:r>
      <w:r w:rsidRPr="00F036E9">
        <w:rPr>
          <w:rFonts w:eastAsia="SimSun"/>
          <w:bCs/>
          <w:sz w:val="24"/>
          <w:szCs w:val="24"/>
          <w:lang w:eastAsia="zh-CN"/>
        </w:rPr>
        <w:t>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439CCA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475B">
        <w:rPr>
          <w:rFonts w:cs="Arial"/>
          <w:b/>
          <w:bCs/>
          <w:sz w:val="24"/>
          <w:lang w:eastAsia="ja-JP"/>
        </w:rPr>
        <w:t>11.9.</w:t>
      </w:r>
      <w:r w:rsidR="004E21E3">
        <w:rPr>
          <w:rFonts w:cs="Arial"/>
          <w:b/>
          <w:bCs/>
          <w:sz w:val="24"/>
          <w:lang w:eastAsia="ja-JP"/>
        </w:rPr>
        <w:t>3.</w:t>
      </w:r>
      <w:r w:rsidR="000C4F51">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C1F2AD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7BE5" w:rsidRPr="002A7BE5">
        <w:rPr>
          <w:rFonts w:ascii="Arial" w:hAnsi="Arial" w:cs="Arial"/>
          <w:b/>
          <w:bCs/>
          <w:sz w:val="24"/>
        </w:rPr>
        <w:t>On the actions upon RLF or HOF when CHO was configured</w:t>
      </w:r>
    </w:p>
    <w:p w14:paraId="1F147C23" w14:textId="3A93C62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1475B" w:rsidRPr="00F1475B">
        <w:rPr>
          <w:rFonts w:ascii="Arial" w:hAnsi="Arial" w:cs="Arial"/>
          <w:b/>
          <w:bCs/>
          <w:sz w:val="24"/>
        </w:rPr>
        <w:t>NR_Mob_enh</w:t>
      </w:r>
      <w:proofErr w:type="spellEnd"/>
      <w:r w:rsidR="00F1475B" w:rsidRPr="00F1475B">
        <w:rPr>
          <w:rFonts w:ascii="Arial" w:hAnsi="Arial" w:cs="Arial"/>
          <w:b/>
          <w:bCs/>
          <w:sz w:val="24"/>
        </w:rPr>
        <w:t xml:space="preserve">-Core </w:t>
      </w:r>
      <w:r>
        <w:rPr>
          <w:rFonts w:ascii="Arial" w:hAnsi="Arial" w:cs="Arial"/>
          <w:b/>
          <w:bCs/>
          <w:sz w:val="24"/>
        </w:rPr>
        <w:t xml:space="preserve">- Release </w:t>
      </w:r>
      <w:r w:rsidR="00F1475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C1315A" w14:textId="57EEF29B" w:rsidR="00365AAF" w:rsidRDefault="004051C0" w:rsidP="00BB6EDD">
      <w:pPr>
        <w:jc w:val="both"/>
      </w:pPr>
      <w:r>
        <w:t>I</w:t>
      </w:r>
      <w:r w:rsidR="00976731">
        <w:t>n RAN2#106</w:t>
      </w:r>
      <w:r>
        <w:t xml:space="preserve"> the following agreements were made</w:t>
      </w:r>
      <w:r w:rsidR="00E50D73">
        <w:t xml:space="preserve"> </w:t>
      </w:r>
      <w:r w:rsidR="00E50D73">
        <w:fldChar w:fldCharType="begin"/>
      </w:r>
      <w:r w:rsidR="00E50D73">
        <w:instrText xml:space="preserve"> REF _Ref12434618 \r \h </w:instrText>
      </w:r>
      <w:r w:rsidR="00E50D73">
        <w:fldChar w:fldCharType="separate"/>
      </w:r>
      <w:r w:rsidR="00E50D73">
        <w:t>[1]</w:t>
      </w:r>
      <w:r w:rsidR="00E50D73">
        <w:fldChar w:fldCharType="end"/>
      </w:r>
      <w:r w:rsidR="00976731">
        <w:t>:</w:t>
      </w:r>
    </w:p>
    <w:tbl>
      <w:tblPr>
        <w:tblStyle w:val="TableGrid"/>
        <w:tblW w:w="0" w:type="auto"/>
        <w:tblLook w:val="04A0" w:firstRow="1" w:lastRow="0" w:firstColumn="1" w:lastColumn="0" w:noHBand="0" w:noVBand="1"/>
      </w:tblPr>
      <w:tblGrid>
        <w:gridCol w:w="9631"/>
      </w:tblGrid>
      <w:tr w:rsidR="008E6447" w:rsidRPr="001E6103" w14:paraId="3145B9E6" w14:textId="77777777" w:rsidTr="00B6335E">
        <w:tc>
          <w:tcPr>
            <w:tcW w:w="9631" w:type="dxa"/>
          </w:tcPr>
          <w:p w14:paraId="5D7B603D" w14:textId="77777777" w:rsidR="008E6447" w:rsidRPr="001E6103" w:rsidRDefault="008E6447" w:rsidP="00B6335E">
            <w:pPr>
              <w:rPr>
                <w:rFonts w:ascii="Arial" w:hAnsi="Arial" w:cs="Arial"/>
                <w:lang w:val="en-US"/>
              </w:rPr>
            </w:pPr>
            <w:r w:rsidRPr="001E6103">
              <w:rPr>
                <w:rFonts w:ascii="Arial" w:hAnsi="Arial" w:cs="Arial"/>
                <w:lang w:val="en-US"/>
              </w:rPr>
              <w:t>Agreements</w:t>
            </w:r>
          </w:p>
          <w:p w14:paraId="6127FD51" w14:textId="77777777" w:rsidR="008E6447" w:rsidRPr="001E6103" w:rsidRDefault="008E6447" w:rsidP="00B6335E">
            <w:pPr>
              <w:rPr>
                <w:rFonts w:ascii="Arial" w:hAnsi="Arial" w:cs="Arial"/>
                <w:lang w:val="en-US"/>
              </w:rPr>
            </w:pPr>
            <w:r w:rsidRPr="001E6103">
              <w:rPr>
                <w:rFonts w:ascii="Arial" w:hAnsi="Arial" w:cs="Arial"/>
                <w:lang w:val="en-US"/>
              </w:rPr>
              <w:t>1</w:t>
            </w:r>
            <w:r w:rsidRPr="001E6103">
              <w:rPr>
                <w:rFonts w:ascii="Arial" w:hAnsi="Arial" w:cs="Arial"/>
                <w:lang w:val="en-US"/>
              </w:rPr>
              <w:tab/>
              <w:t xml:space="preserve">UE shall not stop T310 and shall not start T304 when it receives configuration of a CHO candidate </w:t>
            </w:r>
          </w:p>
          <w:p w14:paraId="562E019D" w14:textId="77777777" w:rsidR="008E6447" w:rsidRPr="001E6103" w:rsidRDefault="008E6447" w:rsidP="00B6335E">
            <w:pPr>
              <w:rPr>
                <w:rFonts w:ascii="Arial" w:hAnsi="Arial" w:cs="Arial"/>
                <w:lang w:val="en-US"/>
              </w:rPr>
            </w:pPr>
            <w:r w:rsidRPr="001E6103">
              <w:rPr>
                <w:rFonts w:ascii="Arial" w:hAnsi="Arial" w:cs="Arial"/>
                <w:lang w:val="en-US"/>
              </w:rPr>
              <w:t>2.</w:t>
            </w:r>
            <w:r w:rsidRPr="001E6103">
              <w:rPr>
                <w:rFonts w:ascii="Arial" w:hAnsi="Arial" w:cs="Arial"/>
                <w:lang w:val="en-US"/>
              </w:rPr>
              <w:tab/>
              <w:t>The timer T310 is stopped and timer T304-like is started when the UE begins execution of a conditional handover for a target cell. (Stage 3 detail whether we reuse T304 or define a new timer)</w:t>
            </w:r>
          </w:p>
          <w:p w14:paraId="3E00C12C" w14:textId="77777777" w:rsidR="008E6447" w:rsidRPr="002C7115" w:rsidRDefault="008E6447" w:rsidP="00B6335E">
            <w:pPr>
              <w:rPr>
                <w:rFonts w:ascii="Arial" w:hAnsi="Arial" w:cs="Arial"/>
                <w:highlight w:val="yellow"/>
                <w:lang w:val="en-US"/>
              </w:rPr>
            </w:pPr>
            <w:r w:rsidRPr="002C7115">
              <w:rPr>
                <w:rFonts w:ascii="Arial" w:hAnsi="Arial" w:cs="Arial"/>
                <w:highlight w:val="yellow"/>
                <w:lang w:val="en-US"/>
              </w:rPr>
              <w:t>Working assumption (to be confirmed next meeting after checking further details)</w:t>
            </w:r>
          </w:p>
          <w:p w14:paraId="3DFF865B" w14:textId="77777777" w:rsidR="008E6447" w:rsidRPr="002C7115" w:rsidRDefault="008E6447" w:rsidP="00B6335E">
            <w:pPr>
              <w:rPr>
                <w:rFonts w:ascii="Arial" w:hAnsi="Arial" w:cs="Arial"/>
                <w:highlight w:val="yellow"/>
                <w:lang w:val="en-US"/>
              </w:rPr>
            </w:pPr>
            <w:r w:rsidRPr="002C7115">
              <w:rPr>
                <w:rFonts w:ascii="Arial" w:hAnsi="Arial" w:cs="Arial"/>
                <w:highlight w:val="yellow"/>
                <w:lang w:val="en-US"/>
              </w:rPr>
              <w:t>3</w:t>
            </w:r>
            <w:r w:rsidRPr="002C7115">
              <w:rPr>
                <w:rFonts w:ascii="Arial" w:hAnsi="Arial" w:cs="Arial"/>
                <w:highlight w:val="yellow"/>
                <w:lang w:val="en-US"/>
              </w:rPr>
              <w:tab/>
              <w:t>At RLF the UE performs cell selection and if the selected cell is a CHO candidate then the UE attempts CHO execution, otherwise re-establishment is performed</w:t>
            </w:r>
          </w:p>
          <w:p w14:paraId="0ED234F1" w14:textId="77777777" w:rsidR="008E6447" w:rsidRPr="001E6103" w:rsidRDefault="008E6447" w:rsidP="00B6335E">
            <w:pPr>
              <w:rPr>
                <w:rFonts w:ascii="Arial" w:hAnsi="Arial" w:cs="Arial"/>
                <w:lang w:val="en-US"/>
              </w:rPr>
            </w:pPr>
            <w:r w:rsidRPr="002C7115">
              <w:rPr>
                <w:rFonts w:ascii="Arial" w:hAnsi="Arial" w:cs="Arial"/>
                <w:highlight w:val="yellow"/>
                <w:lang w:val="en-US"/>
              </w:rPr>
              <w:t>4</w:t>
            </w:r>
            <w:r w:rsidRPr="002C7115">
              <w:rPr>
                <w:rFonts w:ascii="Arial" w:hAnsi="Arial" w:cs="Arial"/>
                <w:highlight w:val="yellow"/>
                <w:lang w:val="en-US"/>
              </w:rPr>
              <w:tab/>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4A820963" w14:textId="77777777" w:rsidR="008E6447" w:rsidRPr="008E6447" w:rsidRDefault="008E6447" w:rsidP="00976731"/>
    <w:p w14:paraId="6F680839" w14:textId="165A1AA8" w:rsidR="0030367A" w:rsidRPr="008A1C37" w:rsidRDefault="008A1C37" w:rsidP="00976731">
      <w:pPr>
        <w:rPr>
          <w:lang w:val="en-US"/>
        </w:rPr>
      </w:pPr>
      <w:r>
        <w:rPr>
          <w:lang w:val="en-US"/>
        </w:rPr>
        <w:t xml:space="preserve">Whereas we see a lot of benefit in making use of prepared CHO target candidates in failure situations, we believe that it is easier to leave the current definitions of failures, as well as the re-establishment procedure, untouched, and to exploit prepared CHO target candidates in a slightly different way than above. </w:t>
      </w:r>
    </w:p>
    <w:p w14:paraId="2BBFF540" w14:textId="30B315AD" w:rsidR="00A209D6" w:rsidRPr="006E13D1" w:rsidRDefault="00A209D6" w:rsidP="00A209D6">
      <w:pPr>
        <w:pStyle w:val="Heading1"/>
      </w:pPr>
      <w:r w:rsidRPr="006E13D1">
        <w:t>2</w:t>
      </w:r>
      <w:r w:rsidRPr="006E13D1">
        <w:tab/>
      </w:r>
      <w:r w:rsidR="008E6447">
        <w:t>Handling of Handover Failure / T304</w:t>
      </w:r>
    </w:p>
    <w:p w14:paraId="6EF27F8F" w14:textId="63F0A4FC" w:rsidR="002F1410" w:rsidRDefault="008E6447" w:rsidP="001B14EC">
      <w:r>
        <w:t>It has been agreed that T304 is not started when the handover command is received (as for legacy handover), but that a “T304-like” timer is started when the UE begins execution of conditional handover for a target cell.</w:t>
      </w:r>
    </w:p>
    <w:p w14:paraId="21F647F1" w14:textId="7A541E18" w:rsidR="008E6447" w:rsidRDefault="008E6447" w:rsidP="001B14EC">
      <w:r>
        <w:t xml:space="preserve">The task of T304 is to monitor the execution of a handover and to declare a failure when the execution was not successful due to whatever reason. We believe that this task does not change for CHO, so we propose to leave the behaviour of T304 as </w:t>
      </w:r>
      <w:r w:rsidR="008A1C37">
        <w:t xml:space="preserve">it </w:t>
      </w:r>
      <w:r>
        <w:t>is for legacy handover, i.e.</w:t>
      </w:r>
    </w:p>
    <w:p w14:paraId="265AA0A0" w14:textId="2CC4C24D" w:rsidR="008E6447" w:rsidRDefault="008E6447" w:rsidP="008E6447">
      <w:pPr>
        <w:pStyle w:val="ListParagraph"/>
        <w:numPr>
          <w:ilvl w:val="0"/>
          <w:numId w:val="15"/>
        </w:numPr>
      </w:pPr>
      <w:r>
        <w:t>T304 is started when UE begins to execute a CHO</w:t>
      </w:r>
      <w:r w:rsidR="00111487">
        <w:t xml:space="preserve"> with a first target cell.</w:t>
      </w:r>
    </w:p>
    <w:p w14:paraId="51B41F96" w14:textId="6A2A3CFF" w:rsidR="008E6447" w:rsidRDefault="008E6447" w:rsidP="008E6447">
      <w:pPr>
        <w:pStyle w:val="ListParagraph"/>
        <w:numPr>
          <w:ilvl w:val="0"/>
          <w:numId w:val="15"/>
        </w:numPr>
      </w:pPr>
      <w:r>
        <w:t xml:space="preserve">T304 is stopped when a CHO </w:t>
      </w:r>
      <w:r w:rsidR="00A84277">
        <w:t xml:space="preserve">(towards any target) </w:t>
      </w:r>
      <w:r>
        <w:t>is successful</w:t>
      </w:r>
    </w:p>
    <w:p w14:paraId="6810CB5D" w14:textId="72395C02" w:rsidR="008E6447" w:rsidRDefault="008E6447" w:rsidP="008E6447">
      <w:pPr>
        <w:pStyle w:val="ListParagraph"/>
        <w:numPr>
          <w:ilvl w:val="0"/>
          <w:numId w:val="15"/>
        </w:numPr>
      </w:pPr>
      <w:r>
        <w:t>When T304 expires, a handover failure is declared</w:t>
      </w:r>
      <w:r w:rsidR="00784EA4">
        <w:t>, prepared CHO target candidates are released and conventional RRC re-establishment is started</w:t>
      </w:r>
      <w:r>
        <w:t>.</w:t>
      </w:r>
    </w:p>
    <w:p w14:paraId="6DE7EAC0" w14:textId="635FB08B" w:rsidR="008E6447" w:rsidRDefault="008E6447" w:rsidP="008E6447">
      <w:r>
        <w:t xml:space="preserve">However, it may happen that there are further prepared CHO target candidates when the UE begins execution to one </w:t>
      </w:r>
      <w:r w:rsidR="00784EA4">
        <w:t xml:space="preserve">(“the first”) </w:t>
      </w:r>
      <w:r>
        <w:t xml:space="preserve">target cell. </w:t>
      </w:r>
      <w:r w:rsidR="00111487">
        <w:t>In this case, it might be advantageous not to desperately try the execution of the first target for the whole duration of T304. Instead, it might be better to try with another prepared target although its execution condition was not met when T304 was started. To this end, it could be helpful to introduce another, shorter timer, e.g. T305, which triggers the execution to an alternative CHO target candidate. The behaviour of T305 would be:</w:t>
      </w:r>
    </w:p>
    <w:p w14:paraId="70D7EC58" w14:textId="29E494E1" w:rsidR="00111487" w:rsidRDefault="00111487" w:rsidP="00111487">
      <w:pPr>
        <w:pStyle w:val="ListParagraph"/>
        <w:numPr>
          <w:ilvl w:val="0"/>
          <w:numId w:val="15"/>
        </w:numPr>
      </w:pPr>
      <w:r>
        <w:lastRenderedPageBreak/>
        <w:t xml:space="preserve">T305 is started when UE begins to execute a CHO with an </w:t>
      </w:r>
      <w:r w:rsidRPr="00111487">
        <w:rPr>
          <w:i/>
        </w:rPr>
        <w:t>arbitrary</w:t>
      </w:r>
      <w:r>
        <w:t xml:space="preserve"> target cell (and only if alternative CHO target candidates are available)</w:t>
      </w:r>
    </w:p>
    <w:p w14:paraId="2692DA57" w14:textId="5B69E6A6" w:rsidR="00111487" w:rsidRDefault="00111487" w:rsidP="00111487">
      <w:pPr>
        <w:pStyle w:val="ListParagraph"/>
        <w:numPr>
          <w:ilvl w:val="0"/>
          <w:numId w:val="15"/>
        </w:numPr>
      </w:pPr>
      <w:r>
        <w:t>T305 is stopped when a CHO is successful</w:t>
      </w:r>
    </w:p>
    <w:p w14:paraId="6ACF0482" w14:textId="3D077069" w:rsidR="00111487" w:rsidRDefault="00111487" w:rsidP="00111487">
      <w:pPr>
        <w:pStyle w:val="ListParagraph"/>
        <w:numPr>
          <w:ilvl w:val="0"/>
          <w:numId w:val="15"/>
        </w:numPr>
      </w:pPr>
      <w:r>
        <w:t xml:space="preserve">When T305 expires, the UE stops the CHO execution with the current target, </w:t>
      </w:r>
      <w:r w:rsidR="00A84277">
        <w:t xml:space="preserve">release the CHO preparation of the current target, </w:t>
      </w:r>
      <w:r>
        <w:t>selects an alternative target</w:t>
      </w:r>
      <w:r w:rsidR="00A84277">
        <w:t xml:space="preserve"> </w:t>
      </w:r>
      <w:r>
        <w:t xml:space="preserve">and </w:t>
      </w:r>
      <w:r w:rsidR="00A84277">
        <w:t>begins to execute a CHO with the alternative target</w:t>
      </w:r>
      <w:r w:rsidR="008A1C37">
        <w:t xml:space="preserve"> (which would start T305 again)</w:t>
      </w:r>
      <w:r w:rsidR="00A84277">
        <w:t>.</w:t>
      </w:r>
    </w:p>
    <w:p w14:paraId="5685DE0C" w14:textId="170CA137" w:rsidR="00A84277" w:rsidRDefault="00A84277" w:rsidP="00A84277">
      <w:r>
        <w:t>For the sake of clarity, T304 would not be stopped in this case, it would continue. Expiry of T304 would still lead to handover failure and re-establishment. Note that in theory there might still be alternative CHO target candidates when T304 expires, but we believe that with appropriate choice of T305 this is unlikely enough such that no special CHO actions are needed for T304 expiry.</w:t>
      </w:r>
    </w:p>
    <w:p w14:paraId="70DAE1D4" w14:textId="376AD4E9" w:rsidR="00A84277" w:rsidRDefault="00FD6BA2" w:rsidP="003D4B58">
      <w:pPr>
        <w:jc w:val="both"/>
        <w:rPr>
          <w:b/>
        </w:rPr>
      </w:pPr>
      <w:r>
        <w:rPr>
          <w:b/>
        </w:rPr>
        <w:t xml:space="preserve">Proposal 1: We propose that </w:t>
      </w:r>
      <w:r w:rsidR="00A84277">
        <w:rPr>
          <w:b/>
        </w:rPr>
        <w:t>T304 is reused for CHO, it is started when UE begins to execute a CHO with a first target cell, stopped when CHO (towards any target) is successful, and its expiry will lead to handover failure</w:t>
      </w:r>
      <w:r w:rsidR="00AE5587">
        <w:rPr>
          <w:b/>
        </w:rPr>
        <w:t>,</w:t>
      </w:r>
      <w:r w:rsidR="00A84277">
        <w:rPr>
          <w:b/>
        </w:rPr>
        <w:t xml:space="preserve"> </w:t>
      </w:r>
      <w:r w:rsidR="00784EA4">
        <w:rPr>
          <w:b/>
        </w:rPr>
        <w:t xml:space="preserve">release of CHO target candidates, and </w:t>
      </w:r>
      <w:r w:rsidR="00A84277">
        <w:rPr>
          <w:b/>
        </w:rPr>
        <w:t>conventional re-establishment.</w:t>
      </w:r>
    </w:p>
    <w:p w14:paraId="6DDAFCF8" w14:textId="08137376" w:rsidR="00F32AC8" w:rsidRDefault="00A84277" w:rsidP="003D4B58">
      <w:pPr>
        <w:jc w:val="both"/>
        <w:rPr>
          <w:b/>
        </w:rPr>
      </w:pPr>
      <w:r>
        <w:rPr>
          <w:b/>
        </w:rPr>
        <w:t xml:space="preserve">Proposal 2: RAN2 considers the introduction of an additional timer, e.g. T305, </w:t>
      </w:r>
      <w:r w:rsidR="0026301F">
        <w:rPr>
          <w:b/>
        </w:rPr>
        <w:t xml:space="preserve">which is shorter than T304, and </w:t>
      </w:r>
      <w:r>
        <w:rPr>
          <w:b/>
        </w:rPr>
        <w:t>whose expir</w:t>
      </w:r>
      <w:r w:rsidR="0026301F">
        <w:rPr>
          <w:b/>
        </w:rPr>
        <w:t>y would stop the CHO execution to the current CHO target and starts CHO execution to an alternative CHO target.</w:t>
      </w:r>
    </w:p>
    <w:p w14:paraId="6D412957" w14:textId="6D51A20C" w:rsidR="008A1C37" w:rsidRPr="008A1C37" w:rsidRDefault="008A1C37" w:rsidP="003D4B58">
      <w:pPr>
        <w:jc w:val="both"/>
      </w:pPr>
      <w:r>
        <w:t>Alternatively, following the working assumption</w:t>
      </w:r>
      <w:r w:rsidR="004C6A70">
        <w:t xml:space="preserve"> from RAN2#106</w:t>
      </w:r>
      <w:r>
        <w:t>, the UE would wait until T304(-like) timer expires and then executes CHO if the selected cell is an alternative target. Main problem is that this would start the T304-like timer again. So</w:t>
      </w:r>
      <w:r w:rsidR="003C067D">
        <w:t>,</w:t>
      </w:r>
      <w:r>
        <w:t xml:space="preserve"> if there is a major problem which can only be fixed with an RRC re-establishment, it would take quite a lot of time.</w:t>
      </w:r>
      <w:r w:rsidR="004C6A70">
        <w:t xml:space="preserve"> Most likely this requires the introduction of another timer which finally launches the RRC re-establishment which </w:t>
      </w:r>
      <w:proofErr w:type="gramStart"/>
      <w:r w:rsidR="004C6A70">
        <w:t>actually is</w:t>
      </w:r>
      <w:proofErr w:type="gramEnd"/>
      <w:r w:rsidR="004C6A70">
        <w:t xml:space="preserve"> the original sense of T304.</w:t>
      </w:r>
    </w:p>
    <w:p w14:paraId="5BF65114" w14:textId="093653AB" w:rsidR="0026301F" w:rsidRPr="006E13D1" w:rsidRDefault="0026301F" w:rsidP="0026301F">
      <w:pPr>
        <w:pStyle w:val="Heading1"/>
      </w:pPr>
      <w:r>
        <w:t>3</w:t>
      </w:r>
      <w:r w:rsidRPr="006E13D1">
        <w:tab/>
      </w:r>
      <w:r>
        <w:t>Handling of Radio Link Failure</w:t>
      </w:r>
    </w:p>
    <w:p w14:paraId="0B2FBB59" w14:textId="6E1C230E" w:rsidR="00606E1D" w:rsidRDefault="004C6A70" w:rsidP="003D4B58">
      <w:pPr>
        <w:jc w:val="both"/>
      </w:pPr>
      <w:r>
        <w:t>Similarly, if the UE starts the execution of a prepared CHO only when RLF is already declared, this would start T304 afterwards. So again, if there are major problems, it may happen that T310 and T304 sum up before RRC re-establishment is started (which would be the last resort). Considering the section above, it may even happen that T310 and multiple instances of T304 sum up.</w:t>
      </w:r>
    </w:p>
    <w:p w14:paraId="4879D250" w14:textId="3B0C8E80" w:rsidR="004C6A70" w:rsidRDefault="004C6A70" w:rsidP="003D4B58">
      <w:pPr>
        <w:jc w:val="both"/>
      </w:pPr>
      <w:r>
        <w:t>Furthermore, if the CHO fails as well, it is not clear whether it is an RLF or HOF. Even if the subsequent CHO is successful, it is not clear whether this should be counted as RLF or not.</w:t>
      </w:r>
    </w:p>
    <w:p w14:paraId="6BC388E8" w14:textId="74D7846F" w:rsidR="003C067D" w:rsidRDefault="003C067D" w:rsidP="003D4B58">
      <w:pPr>
        <w:jc w:val="both"/>
      </w:pPr>
      <w:r>
        <w:t>Finally, we strongly believe that it is unreasonable to wait until T310 expires</w:t>
      </w:r>
      <w:r w:rsidR="00AE3854">
        <w:t xml:space="preserve"> (which might be very long)</w:t>
      </w:r>
      <w:r>
        <w:t>, if there are proper CHO target candidates available.</w:t>
      </w:r>
    </w:p>
    <w:p w14:paraId="1BCB35A1" w14:textId="7562BDAB" w:rsidR="004C6A70" w:rsidRDefault="004C6A70" w:rsidP="003D4B58">
      <w:pPr>
        <w:jc w:val="both"/>
      </w:pPr>
      <w:r>
        <w:t>So</w:t>
      </w:r>
      <w:r w:rsidR="003C067D">
        <w:t>,</w:t>
      </w:r>
      <w:r>
        <w:t xml:space="preserve"> in the presence of prepared CHO target candidates, it would be a better idea to allow the UE to begin the execution of a CHO </w:t>
      </w:r>
      <w:r w:rsidRPr="004C6A70">
        <w:rPr>
          <w:i/>
        </w:rPr>
        <w:t>before</w:t>
      </w:r>
      <w:r>
        <w:t xml:space="preserve"> the RLF is declared, e.g. </w:t>
      </w:r>
      <w:r w:rsidRPr="004C6A70">
        <w:rPr>
          <w:i/>
        </w:rPr>
        <w:t>before</w:t>
      </w:r>
      <w:r>
        <w:t xml:space="preserve"> T310 expires.</w:t>
      </w:r>
      <w:r w:rsidR="003C067D">
        <w:t xml:space="preserve"> This could be achieved by very simple means, e.g. a shorter timer (equivalent to T305 above), or by an alternative (more relaxed) CHO condition. For instance, while T310 is running, the UE may execute a CHO if a target candidate fulfils the cell selection criterion (but not the original CHO condition).</w:t>
      </w:r>
    </w:p>
    <w:p w14:paraId="22373582" w14:textId="2FC102CF" w:rsidR="003C067D" w:rsidRDefault="00AE3854" w:rsidP="003D4B58">
      <w:pPr>
        <w:jc w:val="both"/>
      </w:pPr>
      <w:r>
        <w:t>If the UE begins the execution of a CHO, then T310 would be stopped</w:t>
      </w:r>
      <w:r w:rsidR="00AE5587">
        <w:t xml:space="preserve"> and T304-like timer (or T304/T305 as above) is started</w:t>
      </w:r>
      <w:r>
        <w:t xml:space="preserve">, i.e. any subsequent failure would not be counted as RLF but as </w:t>
      </w:r>
      <w:proofErr w:type="spellStart"/>
      <w:r>
        <w:t>HoF</w:t>
      </w:r>
      <w:proofErr w:type="spellEnd"/>
      <w:r>
        <w:t xml:space="preserve"> which seems to be logical</w:t>
      </w:r>
      <w:r w:rsidR="00AE5587">
        <w:t>,</w:t>
      </w:r>
      <w:r>
        <w:t xml:space="preserve"> correct</w:t>
      </w:r>
      <w:r w:rsidR="00AE5587">
        <w:t xml:space="preserve"> and consistent with legacy </w:t>
      </w:r>
      <w:r w:rsidR="00784EA4">
        <w:t>behaviour</w:t>
      </w:r>
      <w:r>
        <w:t>.</w:t>
      </w:r>
      <w:r w:rsidR="00AE5587">
        <w:t xml:space="preserve"> The </w:t>
      </w:r>
      <w:r w:rsidR="00784EA4">
        <w:t>behaviour</w:t>
      </w:r>
      <w:r w:rsidR="00AE5587">
        <w:t xml:space="preserve"> in this case would be identical to the case where the original CHO condition triggers during T310 (or before RLF is declared).</w:t>
      </w:r>
    </w:p>
    <w:p w14:paraId="166B7BD1" w14:textId="1231F438" w:rsidR="00AE5587" w:rsidRDefault="00AE5587" w:rsidP="00AE5587">
      <w:pPr>
        <w:jc w:val="both"/>
        <w:rPr>
          <w:b/>
        </w:rPr>
      </w:pPr>
      <w:r>
        <w:rPr>
          <w:b/>
        </w:rPr>
        <w:t xml:space="preserve">Proposal 3: We propose that definition of RLF and the subsequent </w:t>
      </w:r>
      <w:r w:rsidR="00784EA4">
        <w:rPr>
          <w:b/>
        </w:rPr>
        <w:t xml:space="preserve">RRC </w:t>
      </w:r>
      <w:r>
        <w:rPr>
          <w:b/>
        </w:rPr>
        <w:t>re-establishment procedure is not changed for CHO.</w:t>
      </w:r>
      <w:r w:rsidR="00027601">
        <w:rPr>
          <w:b/>
        </w:rPr>
        <w:t xml:space="preserve"> Prepared CHO target candidates are released when RLF is declared.</w:t>
      </w:r>
    </w:p>
    <w:p w14:paraId="0242BEC5" w14:textId="1B56D3D5" w:rsidR="00AE5587" w:rsidRPr="001972A4" w:rsidRDefault="00AE5587" w:rsidP="003D4B58">
      <w:pPr>
        <w:jc w:val="both"/>
        <w:rPr>
          <w:b/>
        </w:rPr>
      </w:pPr>
      <w:r>
        <w:rPr>
          <w:b/>
        </w:rPr>
        <w:t xml:space="preserve">Proposal 4: </w:t>
      </w:r>
      <w:r w:rsidR="00784EA4">
        <w:rPr>
          <w:b/>
        </w:rPr>
        <w:t>RAN2 considers the following improvement: i</w:t>
      </w:r>
      <w:r>
        <w:rPr>
          <w:b/>
        </w:rPr>
        <w:t>n the presence of prepared CHO target candidates, the UE begins the execution of a CHO before RLF is declared, even if the CHO condition is not fulfilled.</w:t>
      </w:r>
      <w:r w:rsidR="001972A4">
        <w:rPr>
          <w:b/>
        </w:rPr>
        <w:t xml:space="preserve"> Details are FFS.</w:t>
      </w:r>
    </w:p>
    <w:p w14:paraId="6E4BEBDC" w14:textId="7C095E4B" w:rsidR="00AE3854" w:rsidRPr="006E13D1" w:rsidRDefault="00AE3854" w:rsidP="00AE3854">
      <w:pPr>
        <w:pStyle w:val="Heading1"/>
      </w:pPr>
      <w:r>
        <w:t>4</w:t>
      </w:r>
      <w:r w:rsidRPr="006E13D1">
        <w:tab/>
      </w:r>
      <w:r>
        <w:t>Advantages</w:t>
      </w:r>
    </w:p>
    <w:p w14:paraId="1A61025D" w14:textId="03A5FABA" w:rsidR="00AE3854" w:rsidRDefault="00AE3854" w:rsidP="003D4B58">
      <w:pPr>
        <w:jc w:val="both"/>
      </w:pPr>
      <w:r>
        <w:t xml:space="preserve">With the above proposals we would minimize the difference to current behaviour and thereby the specification effort. Definition of RLF and </w:t>
      </w:r>
      <w:proofErr w:type="spellStart"/>
      <w:r>
        <w:t>HoF</w:t>
      </w:r>
      <w:proofErr w:type="spellEnd"/>
      <w:r>
        <w:t xml:space="preserve"> would remain the same, and the re-establishment procedure is unchanged as well. Furthermore, the UEs would release the CHO resource as soon as a failure is declared (since CHO candidates have been </w:t>
      </w:r>
      <w:r>
        <w:lastRenderedPageBreak/>
        <w:t>attempted beforehand).</w:t>
      </w:r>
      <w:r w:rsidR="001972A4">
        <w:t xml:space="preserve"> Nevertheless, the existence of CHO target candidates is exploited, i.e. the much more efficient CHO execution is attempted before RRC re-establishment, if possible.</w:t>
      </w:r>
    </w:p>
    <w:p w14:paraId="65DC1400" w14:textId="794836AA" w:rsidR="00AE3854" w:rsidRPr="00AE3854" w:rsidRDefault="00AE3854" w:rsidP="003D4B58">
      <w:pPr>
        <w:jc w:val="both"/>
      </w:pPr>
      <w:r>
        <w:t xml:space="preserve">In addition, the above proposals significantly minimize the interruption times during failures, since CHO execution is </w:t>
      </w:r>
      <w:r w:rsidR="00AE5587">
        <w:t>initiated before the T310 and T304 expire.</w:t>
      </w:r>
      <w:r w:rsidR="00792ACE">
        <w:t xml:space="preserve"> RLFs and H</w:t>
      </w:r>
      <w:r w:rsidR="00345970">
        <w:t>O</w:t>
      </w:r>
      <w:r w:rsidR="00792ACE">
        <w:t>Fs can even be avoided by attempting the CHO execution earlier than in the working assumption.</w:t>
      </w:r>
    </w:p>
    <w:p w14:paraId="5FF2457F" w14:textId="35014B16" w:rsidR="00A209D6" w:rsidRPr="006E13D1" w:rsidRDefault="00AE5587" w:rsidP="00A209D6">
      <w:pPr>
        <w:pStyle w:val="Heading1"/>
      </w:pPr>
      <w:r>
        <w:t>5</w:t>
      </w:r>
      <w:r w:rsidR="00A209D6" w:rsidRPr="006E13D1">
        <w:tab/>
      </w:r>
      <w:r w:rsidR="008C3057">
        <w:t>Conclusion</w:t>
      </w:r>
    </w:p>
    <w:p w14:paraId="7ED6CDB0" w14:textId="77777777" w:rsidR="002A7BE5" w:rsidRDefault="002A7BE5" w:rsidP="002A7BE5">
      <w:pPr>
        <w:jc w:val="both"/>
        <w:rPr>
          <w:b/>
        </w:rPr>
      </w:pPr>
      <w:r>
        <w:rPr>
          <w:b/>
        </w:rPr>
        <w:t>Proposal 1: We propose that T304 is reused for CHO, it is started when UE begins to execute a CHO with a first target cell, stopped when CHO (towards any target) is successful, and its expiry will lead to handover failure, release of CHO target candidates, and conventional re-establishment.</w:t>
      </w:r>
    </w:p>
    <w:p w14:paraId="119DD8D8" w14:textId="77777777" w:rsidR="002A7BE5" w:rsidRDefault="002A7BE5" w:rsidP="002A7BE5">
      <w:pPr>
        <w:jc w:val="both"/>
        <w:rPr>
          <w:b/>
        </w:rPr>
      </w:pPr>
      <w:r>
        <w:rPr>
          <w:b/>
        </w:rPr>
        <w:t>Proposal 2: RAN2 considers the introduction of an additional timer, e.g. T305, which is shorter than T304, and whose expiry would stop the CHO execution to the current CHO target and starts CHO execution to an alternative CHO target.</w:t>
      </w:r>
    </w:p>
    <w:p w14:paraId="09A7C289" w14:textId="77777777" w:rsidR="002A7BE5" w:rsidRDefault="002A7BE5" w:rsidP="002A7BE5">
      <w:pPr>
        <w:jc w:val="both"/>
        <w:rPr>
          <w:b/>
        </w:rPr>
      </w:pPr>
      <w:r>
        <w:rPr>
          <w:b/>
        </w:rPr>
        <w:t>Proposal 3: We propose that definition of RLF and the subsequent RRC re-establishment procedure is not changed for CHO. Prepared CHO target candidates are released when RLF is declared.</w:t>
      </w:r>
    </w:p>
    <w:p w14:paraId="4AC8C053" w14:textId="754E7321" w:rsidR="00123A5C" w:rsidRPr="00BB6EDD" w:rsidRDefault="002A7BE5" w:rsidP="00BB6EDD">
      <w:pPr>
        <w:jc w:val="both"/>
        <w:rPr>
          <w:b/>
        </w:rPr>
      </w:pPr>
      <w:r>
        <w:rPr>
          <w:b/>
        </w:rPr>
        <w:t>Proposal 4: RAN2 considers the following improvement: in the presence of prepared CHO target candidates, the UE begins the execution of a CHO before RLF is declared, even if the CHO condition is not fulfilled. Details are FFS.</w:t>
      </w:r>
    </w:p>
    <w:p w14:paraId="432B0A82" w14:textId="476EBFC8" w:rsidR="00A209D6" w:rsidRDefault="00B61B92" w:rsidP="00B61B92">
      <w:pPr>
        <w:pStyle w:val="Heading1"/>
      </w:pPr>
      <w:r>
        <w:t>References</w:t>
      </w:r>
    </w:p>
    <w:p w14:paraId="31F1850F" w14:textId="7E2976D3" w:rsidR="002A5627" w:rsidRDefault="00B61B92" w:rsidP="00EB1D67">
      <w:pPr>
        <w:pStyle w:val="ListParagraph"/>
        <w:numPr>
          <w:ilvl w:val="0"/>
          <w:numId w:val="8"/>
        </w:numPr>
      </w:pPr>
      <w:bookmarkStart w:id="1" w:name="_Ref12434618"/>
      <w:r w:rsidRPr="00B61B92">
        <w:t>R2-1908108</w:t>
      </w:r>
      <w:r>
        <w:t xml:space="preserve"> </w:t>
      </w:r>
      <w:r w:rsidRPr="00B61B92">
        <w:rPr>
          <w:i/>
        </w:rPr>
        <w:t>Report from session on Rel-16 LTE Mobility Enhancements WI</w:t>
      </w:r>
      <w:r>
        <w:t xml:space="preserve"> 3GPP TSG-RAN WG2 Meeting #106, Reno, USA, 13th – 17th of May 2019</w:t>
      </w:r>
      <w:bookmarkEnd w:id="1"/>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D82DA" w14:textId="77777777" w:rsidR="00AD6D50" w:rsidRDefault="00AD6D50">
      <w:r>
        <w:separator/>
      </w:r>
    </w:p>
  </w:endnote>
  <w:endnote w:type="continuationSeparator" w:id="0">
    <w:p w14:paraId="09803F08" w14:textId="77777777" w:rsidR="00AD6D50" w:rsidRDefault="00AD6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E8470" w14:textId="77777777" w:rsidR="00AD6D50" w:rsidRDefault="00AD6D50">
      <w:r>
        <w:separator/>
      </w:r>
    </w:p>
  </w:footnote>
  <w:footnote w:type="continuationSeparator" w:id="0">
    <w:p w14:paraId="4225E92A" w14:textId="77777777" w:rsidR="00AD6D50" w:rsidRDefault="00AD6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7E3005"/>
    <w:multiLevelType w:val="hybridMultilevel"/>
    <w:tmpl w:val="F42E49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FC656D"/>
    <w:multiLevelType w:val="hybridMultilevel"/>
    <w:tmpl w:val="85C8C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6D5536"/>
    <w:multiLevelType w:val="hybridMultilevel"/>
    <w:tmpl w:val="9C387F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A3537B"/>
    <w:multiLevelType w:val="hybridMultilevel"/>
    <w:tmpl w:val="D2BC1760"/>
    <w:lvl w:ilvl="0" w:tplc="43B85628">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C05FB7"/>
    <w:multiLevelType w:val="hybridMultilevel"/>
    <w:tmpl w:val="8828E9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6A01291"/>
    <w:multiLevelType w:val="hybridMultilevel"/>
    <w:tmpl w:val="EB5A75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CF543C"/>
    <w:multiLevelType w:val="hybridMultilevel"/>
    <w:tmpl w:val="A1E08C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E5F509F"/>
    <w:multiLevelType w:val="hybridMultilevel"/>
    <w:tmpl w:val="5BD6A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9"/>
  </w:num>
  <w:num w:numId="7">
    <w:abstractNumId w:val="10"/>
  </w:num>
  <w:num w:numId="8">
    <w:abstractNumId w:val="5"/>
  </w:num>
  <w:num w:numId="9">
    <w:abstractNumId w:val="4"/>
  </w:num>
  <w:num w:numId="10">
    <w:abstractNumId w:val="2"/>
  </w:num>
  <w:num w:numId="11">
    <w:abstractNumId w:val="11"/>
  </w:num>
  <w:num w:numId="12">
    <w:abstractNumId w:val="3"/>
  </w:num>
  <w:num w:numId="13">
    <w:abstractNumId w:val="13"/>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7601"/>
    <w:rsid w:val="00033397"/>
    <w:rsid w:val="00040095"/>
    <w:rsid w:val="00073C9C"/>
    <w:rsid w:val="00080512"/>
    <w:rsid w:val="00090468"/>
    <w:rsid w:val="00094568"/>
    <w:rsid w:val="000B7BCF"/>
    <w:rsid w:val="000C4F51"/>
    <w:rsid w:val="000C522B"/>
    <w:rsid w:val="000D58AB"/>
    <w:rsid w:val="000D7A98"/>
    <w:rsid w:val="00104AFA"/>
    <w:rsid w:val="00111487"/>
    <w:rsid w:val="00112F1A"/>
    <w:rsid w:val="00123A5C"/>
    <w:rsid w:val="00145075"/>
    <w:rsid w:val="001741A0"/>
    <w:rsid w:val="00175FA0"/>
    <w:rsid w:val="00194CD0"/>
    <w:rsid w:val="001972A4"/>
    <w:rsid w:val="001A2F48"/>
    <w:rsid w:val="001B14EC"/>
    <w:rsid w:val="001B49C9"/>
    <w:rsid w:val="001C23F4"/>
    <w:rsid w:val="001C4F79"/>
    <w:rsid w:val="001F168B"/>
    <w:rsid w:val="001F7831"/>
    <w:rsid w:val="00204045"/>
    <w:rsid w:val="00204D5C"/>
    <w:rsid w:val="0020712B"/>
    <w:rsid w:val="002137BA"/>
    <w:rsid w:val="00214AF5"/>
    <w:rsid w:val="0022606D"/>
    <w:rsid w:val="00231728"/>
    <w:rsid w:val="00250404"/>
    <w:rsid w:val="002610D8"/>
    <w:rsid w:val="0026301F"/>
    <w:rsid w:val="00271A8A"/>
    <w:rsid w:val="002747EC"/>
    <w:rsid w:val="0027680D"/>
    <w:rsid w:val="002855BF"/>
    <w:rsid w:val="002A5627"/>
    <w:rsid w:val="002A7BE5"/>
    <w:rsid w:val="002C7115"/>
    <w:rsid w:val="002F0D22"/>
    <w:rsid w:val="002F1410"/>
    <w:rsid w:val="0030367A"/>
    <w:rsid w:val="003172DC"/>
    <w:rsid w:val="0032139C"/>
    <w:rsid w:val="00325AE3"/>
    <w:rsid w:val="00326069"/>
    <w:rsid w:val="00345970"/>
    <w:rsid w:val="0035462D"/>
    <w:rsid w:val="00364B41"/>
    <w:rsid w:val="00365AAF"/>
    <w:rsid w:val="00383096"/>
    <w:rsid w:val="003A41EF"/>
    <w:rsid w:val="003B3794"/>
    <w:rsid w:val="003B40AD"/>
    <w:rsid w:val="003C067D"/>
    <w:rsid w:val="003C4E37"/>
    <w:rsid w:val="003D4B58"/>
    <w:rsid w:val="003E16BE"/>
    <w:rsid w:val="003F0C8F"/>
    <w:rsid w:val="003F4E28"/>
    <w:rsid w:val="004006E8"/>
    <w:rsid w:val="00401855"/>
    <w:rsid w:val="004051C0"/>
    <w:rsid w:val="00465587"/>
    <w:rsid w:val="00477455"/>
    <w:rsid w:val="004A1F7B"/>
    <w:rsid w:val="004C44D2"/>
    <w:rsid w:val="004C6A70"/>
    <w:rsid w:val="004D3578"/>
    <w:rsid w:val="004D380D"/>
    <w:rsid w:val="004E213A"/>
    <w:rsid w:val="004E21E3"/>
    <w:rsid w:val="00503171"/>
    <w:rsid w:val="00506C28"/>
    <w:rsid w:val="00534DA0"/>
    <w:rsid w:val="00543E6C"/>
    <w:rsid w:val="005527F4"/>
    <w:rsid w:val="00565087"/>
    <w:rsid w:val="0056573F"/>
    <w:rsid w:val="005866F5"/>
    <w:rsid w:val="00587BF0"/>
    <w:rsid w:val="005A4E31"/>
    <w:rsid w:val="00606E1D"/>
    <w:rsid w:val="00611566"/>
    <w:rsid w:val="00646D99"/>
    <w:rsid w:val="00656910"/>
    <w:rsid w:val="006B6F42"/>
    <w:rsid w:val="006C66D8"/>
    <w:rsid w:val="006D1E24"/>
    <w:rsid w:val="006E1417"/>
    <w:rsid w:val="006F6A2C"/>
    <w:rsid w:val="007069DC"/>
    <w:rsid w:val="00710201"/>
    <w:rsid w:val="0072073A"/>
    <w:rsid w:val="007342B5"/>
    <w:rsid w:val="00734A5B"/>
    <w:rsid w:val="00744E76"/>
    <w:rsid w:val="00757D40"/>
    <w:rsid w:val="00781F0F"/>
    <w:rsid w:val="00784EA4"/>
    <w:rsid w:val="0078727C"/>
    <w:rsid w:val="0079049D"/>
    <w:rsid w:val="00792ACE"/>
    <w:rsid w:val="00793DC5"/>
    <w:rsid w:val="007B18D8"/>
    <w:rsid w:val="007C095F"/>
    <w:rsid w:val="007C2DD0"/>
    <w:rsid w:val="007F2E08"/>
    <w:rsid w:val="008028A4"/>
    <w:rsid w:val="00813245"/>
    <w:rsid w:val="008622BA"/>
    <w:rsid w:val="0086354A"/>
    <w:rsid w:val="00870625"/>
    <w:rsid w:val="008768CA"/>
    <w:rsid w:val="00877EF9"/>
    <w:rsid w:val="00880559"/>
    <w:rsid w:val="008A1C37"/>
    <w:rsid w:val="008B5306"/>
    <w:rsid w:val="008C3057"/>
    <w:rsid w:val="008D2E4D"/>
    <w:rsid w:val="008E6447"/>
    <w:rsid w:val="008F396F"/>
    <w:rsid w:val="0090271F"/>
    <w:rsid w:val="00902DB9"/>
    <w:rsid w:val="0090466A"/>
    <w:rsid w:val="00923655"/>
    <w:rsid w:val="00924277"/>
    <w:rsid w:val="009336F2"/>
    <w:rsid w:val="00933824"/>
    <w:rsid w:val="00936071"/>
    <w:rsid w:val="00940212"/>
    <w:rsid w:val="00940DEE"/>
    <w:rsid w:val="00942EC2"/>
    <w:rsid w:val="00961B32"/>
    <w:rsid w:val="00962509"/>
    <w:rsid w:val="00970DB3"/>
    <w:rsid w:val="00974BB0"/>
    <w:rsid w:val="00975BCD"/>
    <w:rsid w:val="00976731"/>
    <w:rsid w:val="00992971"/>
    <w:rsid w:val="009A0AF3"/>
    <w:rsid w:val="009A78EC"/>
    <w:rsid w:val="009B07CD"/>
    <w:rsid w:val="009C19E9"/>
    <w:rsid w:val="009D74A6"/>
    <w:rsid w:val="009F1B92"/>
    <w:rsid w:val="00A10F02"/>
    <w:rsid w:val="00A204CA"/>
    <w:rsid w:val="00A209D6"/>
    <w:rsid w:val="00A53724"/>
    <w:rsid w:val="00A54B2B"/>
    <w:rsid w:val="00A82346"/>
    <w:rsid w:val="00A84277"/>
    <w:rsid w:val="00A92992"/>
    <w:rsid w:val="00A9671C"/>
    <w:rsid w:val="00AA1553"/>
    <w:rsid w:val="00AD453E"/>
    <w:rsid w:val="00AD6D50"/>
    <w:rsid w:val="00AE3854"/>
    <w:rsid w:val="00AE4110"/>
    <w:rsid w:val="00AE5587"/>
    <w:rsid w:val="00B05380"/>
    <w:rsid w:val="00B05962"/>
    <w:rsid w:val="00B15449"/>
    <w:rsid w:val="00B16C2F"/>
    <w:rsid w:val="00B27303"/>
    <w:rsid w:val="00B47FD1"/>
    <w:rsid w:val="00B516BB"/>
    <w:rsid w:val="00B61B92"/>
    <w:rsid w:val="00B84DB2"/>
    <w:rsid w:val="00BB6EDD"/>
    <w:rsid w:val="00BC3555"/>
    <w:rsid w:val="00BE4B0B"/>
    <w:rsid w:val="00C12B51"/>
    <w:rsid w:val="00C24650"/>
    <w:rsid w:val="00C25465"/>
    <w:rsid w:val="00C30389"/>
    <w:rsid w:val="00C33079"/>
    <w:rsid w:val="00C7675B"/>
    <w:rsid w:val="00C83A13"/>
    <w:rsid w:val="00C9068C"/>
    <w:rsid w:val="00C90C6D"/>
    <w:rsid w:val="00C92967"/>
    <w:rsid w:val="00CA2977"/>
    <w:rsid w:val="00CA3D0C"/>
    <w:rsid w:val="00CA654B"/>
    <w:rsid w:val="00CB72B8"/>
    <w:rsid w:val="00CC1B80"/>
    <w:rsid w:val="00CD4C7B"/>
    <w:rsid w:val="00CE4727"/>
    <w:rsid w:val="00D33BE3"/>
    <w:rsid w:val="00D3792D"/>
    <w:rsid w:val="00D54682"/>
    <w:rsid w:val="00D55E47"/>
    <w:rsid w:val="00D62E19"/>
    <w:rsid w:val="00D67CD1"/>
    <w:rsid w:val="00D738D6"/>
    <w:rsid w:val="00D80795"/>
    <w:rsid w:val="00D854BE"/>
    <w:rsid w:val="00D87E00"/>
    <w:rsid w:val="00D9134D"/>
    <w:rsid w:val="00D96D11"/>
    <w:rsid w:val="00DA17F2"/>
    <w:rsid w:val="00DA7A03"/>
    <w:rsid w:val="00DB0DB8"/>
    <w:rsid w:val="00DB1818"/>
    <w:rsid w:val="00DC309B"/>
    <w:rsid w:val="00DC4DA2"/>
    <w:rsid w:val="00DC5261"/>
    <w:rsid w:val="00DE25D2"/>
    <w:rsid w:val="00E17037"/>
    <w:rsid w:val="00E46C08"/>
    <w:rsid w:val="00E471CF"/>
    <w:rsid w:val="00E50D73"/>
    <w:rsid w:val="00E62835"/>
    <w:rsid w:val="00E77645"/>
    <w:rsid w:val="00E83697"/>
    <w:rsid w:val="00EA3FBA"/>
    <w:rsid w:val="00EA66C9"/>
    <w:rsid w:val="00EB1D67"/>
    <w:rsid w:val="00EC4A25"/>
    <w:rsid w:val="00F025A2"/>
    <w:rsid w:val="00F036E9"/>
    <w:rsid w:val="00F07388"/>
    <w:rsid w:val="00F1475B"/>
    <w:rsid w:val="00F2026E"/>
    <w:rsid w:val="00F2210A"/>
    <w:rsid w:val="00F32AC8"/>
    <w:rsid w:val="00F37743"/>
    <w:rsid w:val="00F54A3D"/>
    <w:rsid w:val="00F54CB0"/>
    <w:rsid w:val="00F579CD"/>
    <w:rsid w:val="00F653B8"/>
    <w:rsid w:val="00F71B89"/>
    <w:rsid w:val="00F7353C"/>
    <w:rsid w:val="00F76F8F"/>
    <w:rsid w:val="00F770C6"/>
    <w:rsid w:val="00F81093"/>
    <w:rsid w:val="00F941DF"/>
    <w:rsid w:val="00FA1266"/>
    <w:rsid w:val="00FB36FA"/>
    <w:rsid w:val="00FC1192"/>
    <w:rsid w:val="00FD6BA2"/>
    <w:rsid w:val="00FE251B"/>
    <w:rsid w:val="00FE5E68"/>
    <w:rsid w:val="00FF21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1B92"/>
    <w:pPr>
      <w:ind w:left="720"/>
      <w:contextualSpacing/>
    </w:pPr>
  </w:style>
  <w:style w:type="character" w:styleId="CommentReference">
    <w:name w:val="annotation reference"/>
    <w:basedOn w:val="DefaultParagraphFont"/>
    <w:rsid w:val="00E50D73"/>
    <w:rPr>
      <w:sz w:val="16"/>
      <w:szCs w:val="16"/>
    </w:rPr>
  </w:style>
  <w:style w:type="paragraph" w:styleId="CommentText">
    <w:name w:val="annotation text"/>
    <w:basedOn w:val="Normal"/>
    <w:link w:val="CommentTextChar"/>
    <w:rsid w:val="00E50D73"/>
  </w:style>
  <w:style w:type="character" w:customStyle="1" w:styleId="CommentTextChar">
    <w:name w:val="Comment Text Char"/>
    <w:basedOn w:val="DefaultParagraphFont"/>
    <w:link w:val="CommentText"/>
    <w:rsid w:val="00E50D73"/>
    <w:rPr>
      <w:lang w:eastAsia="en-US"/>
    </w:rPr>
  </w:style>
  <w:style w:type="paragraph" w:styleId="CommentSubject">
    <w:name w:val="annotation subject"/>
    <w:basedOn w:val="CommentText"/>
    <w:next w:val="CommentText"/>
    <w:link w:val="CommentSubjectChar"/>
    <w:rsid w:val="00E50D73"/>
    <w:rPr>
      <w:b/>
      <w:bCs/>
    </w:rPr>
  </w:style>
  <w:style w:type="character" w:customStyle="1" w:styleId="CommentSubjectChar">
    <w:name w:val="Comment Subject Char"/>
    <w:basedOn w:val="CommentTextChar"/>
    <w:link w:val="CommentSubject"/>
    <w:rsid w:val="00E50D73"/>
    <w:rPr>
      <w:b/>
      <w:bCs/>
      <w:lang w:eastAsia="en-US"/>
    </w:rPr>
  </w:style>
  <w:style w:type="paragraph" w:styleId="Caption">
    <w:name w:val="caption"/>
    <w:basedOn w:val="Normal"/>
    <w:next w:val="Normal"/>
    <w:unhideWhenUsed/>
    <w:qFormat/>
    <w:rsid w:val="0032139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513761">
      <w:bodyDiv w:val="1"/>
      <w:marLeft w:val="0"/>
      <w:marRight w:val="0"/>
      <w:marTop w:val="0"/>
      <w:marBottom w:val="0"/>
      <w:divBdr>
        <w:top w:val="none" w:sz="0" w:space="0" w:color="auto"/>
        <w:left w:val="none" w:sz="0" w:space="0" w:color="auto"/>
        <w:bottom w:val="none" w:sz="0" w:space="0" w:color="auto"/>
        <w:right w:val="none" w:sz="0" w:space="0" w:color="auto"/>
      </w:divBdr>
    </w:div>
    <w:div w:id="6211580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5AIRPNAIUNRU-859666464-5249</_dlc_DocId>
    <_dlc_DocIdUrl xmlns="71c5aaf6-e6ce-465b-b873-5148d2a4c105">
      <Url>https://nokia.sharepoint.com/sites/c5g/e2earch/_layouts/15/DocIdRedir.aspx?ID=5AIRPNAIUNRU-859666464-5249</Url>
      <Description>5AIRPNAIUNRU-859666464-5249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EA77671E-0F96-43DF-922D-E083FAEC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3</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Stanczak, Jedrzej (Nokia - PL/Wroclaw)</cp:lastModifiedBy>
  <cp:revision>16</cp:revision>
  <dcterms:created xsi:type="dcterms:W3CDTF">2019-07-15T16:45:00Z</dcterms:created>
  <dcterms:modified xsi:type="dcterms:W3CDTF">2019-08-15T19:02:00Z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a3faf8da-9559-425f-ada4-a2dcaeeeebce</vt:lpwstr>
  </property>
</Properties>
</file>